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3815" w14:textId="77777777" w:rsidR="0022355C" w:rsidRDefault="00657AC0">
      <w:pPr>
        <w:spacing w:before="480" w:after="120"/>
        <w:jc w:val="center"/>
      </w:pPr>
      <w:r>
        <w:rPr>
          <w:b/>
          <w:bCs/>
          <w:color w:val="1F4E79"/>
          <w:sz w:val="48"/>
          <w:szCs w:val="48"/>
        </w:rPr>
        <w:t>BINDINGSVANNET VEL</w:t>
      </w:r>
    </w:p>
    <w:p w14:paraId="194E3816" w14:textId="77777777" w:rsidR="0022355C" w:rsidRDefault="00657AC0">
      <w:pPr>
        <w:spacing w:after="80"/>
        <w:jc w:val="center"/>
      </w:pPr>
      <w:r>
        <w:rPr>
          <w:b/>
          <w:bCs/>
          <w:color w:val="2E75B6"/>
          <w:sz w:val="36"/>
          <w:szCs w:val="36"/>
        </w:rPr>
        <w:t>Visjon for Bindingsvannet</w:t>
      </w:r>
    </w:p>
    <w:p w14:paraId="194E3817" w14:textId="77777777" w:rsidR="0022355C" w:rsidRDefault="00657AC0">
      <w:pPr>
        <w:spacing w:after="600"/>
        <w:jc w:val="center"/>
        <w:rPr>
          <w:i/>
          <w:iCs/>
          <w:color w:val="888888"/>
          <w:sz w:val="22"/>
          <w:szCs w:val="22"/>
        </w:rPr>
      </w:pPr>
      <w:r>
        <w:rPr>
          <w:i/>
          <w:iCs/>
          <w:color w:val="888888"/>
          <w:sz w:val="22"/>
          <w:szCs w:val="22"/>
        </w:rPr>
        <w:t>Versjon 2 – april 2026</w:t>
      </w:r>
    </w:p>
    <w:sdt>
      <w:sdtPr>
        <w:rPr>
          <w:rFonts w:ascii="Arial" w:eastAsia="Arial" w:hAnsi="Arial" w:cs="Arial"/>
          <w:color w:val="auto"/>
          <w:sz w:val="24"/>
          <w:szCs w:val="24"/>
        </w:rPr>
        <w:id w:val="-553860518"/>
        <w:docPartObj>
          <w:docPartGallery w:val="Table of Contents"/>
          <w:docPartUnique/>
        </w:docPartObj>
      </w:sdtPr>
      <w:sdtEndPr>
        <w:rPr>
          <w:b/>
          <w:bCs/>
        </w:rPr>
      </w:sdtEndPr>
      <w:sdtContent>
        <w:p w14:paraId="57BCF585" w14:textId="6E2729E0" w:rsidR="00E4775F" w:rsidRDefault="00E4775F">
          <w:pPr>
            <w:pStyle w:val="Overskriftforinnholdsfortegnelse"/>
          </w:pPr>
          <w:r>
            <w:t>Innhold</w:t>
          </w:r>
        </w:p>
        <w:p w14:paraId="7C7A7889" w14:textId="5B5C087D" w:rsidR="00E4775F" w:rsidRDefault="00E4775F">
          <w:pPr>
            <w:pStyle w:val="INNH1"/>
            <w:tabs>
              <w:tab w:val="right" w:leader="dot" w:pos="9016"/>
            </w:tabs>
            <w:rPr>
              <w:noProof/>
            </w:rPr>
          </w:pPr>
          <w:r>
            <w:fldChar w:fldCharType="begin"/>
          </w:r>
          <w:r>
            <w:instrText xml:space="preserve"> TOC \o "1-3" \h \z \u </w:instrText>
          </w:r>
          <w:r>
            <w:fldChar w:fldCharType="separate"/>
          </w:r>
          <w:hyperlink w:anchor="_Toc226366067" w:history="1">
            <w:r w:rsidRPr="00881609">
              <w:rPr>
                <w:rStyle w:val="Hyperkobling"/>
                <w:noProof/>
              </w:rPr>
              <w:t>Bakgrunn</w:t>
            </w:r>
            <w:r>
              <w:rPr>
                <w:noProof/>
                <w:webHidden/>
              </w:rPr>
              <w:tab/>
            </w:r>
            <w:r>
              <w:rPr>
                <w:noProof/>
                <w:webHidden/>
              </w:rPr>
              <w:fldChar w:fldCharType="begin"/>
            </w:r>
            <w:r>
              <w:rPr>
                <w:noProof/>
                <w:webHidden/>
              </w:rPr>
              <w:instrText xml:space="preserve"> PAGEREF _Toc226366067 \h </w:instrText>
            </w:r>
            <w:r>
              <w:rPr>
                <w:noProof/>
                <w:webHidden/>
              </w:rPr>
            </w:r>
            <w:r>
              <w:rPr>
                <w:noProof/>
                <w:webHidden/>
              </w:rPr>
              <w:fldChar w:fldCharType="separate"/>
            </w:r>
            <w:r>
              <w:rPr>
                <w:noProof/>
                <w:webHidden/>
              </w:rPr>
              <w:t>1</w:t>
            </w:r>
            <w:r>
              <w:rPr>
                <w:noProof/>
                <w:webHidden/>
              </w:rPr>
              <w:fldChar w:fldCharType="end"/>
            </w:r>
          </w:hyperlink>
        </w:p>
        <w:p w14:paraId="016F132A" w14:textId="4C30C267" w:rsidR="00E4775F" w:rsidRDefault="00E4775F">
          <w:pPr>
            <w:pStyle w:val="INNH1"/>
            <w:tabs>
              <w:tab w:val="right" w:leader="dot" w:pos="9016"/>
            </w:tabs>
            <w:rPr>
              <w:noProof/>
            </w:rPr>
          </w:pPr>
          <w:hyperlink w:anchor="_Toc226366068" w:history="1">
            <w:r w:rsidRPr="00881609">
              <w:rPr>
                <w:rStyle w:val="Hyperkobling"/>
                <w:noProof/>
              </w:rPr>
              <w:t>Ordliste</w:t>
            </w:r>
            <w:r>
              <w:rPr>
                <w:noProof/>
                <w:webHidden/>
              </w:rPr>
              <w:tab/>
            </w:r>
            <w:r>
              <w:rPr>
                <w:noProof/>
                <w:webHidden/>
              </w:rPr>
              <w:fldChar w:fldCharType="begin"/>
            </w:r>
            <w:r>
              <w:rPr>
                <w:noProof/>
                <w:webHidden/>
              </w:rPr>
              <w:instrText xml:space="preserve"> PAGEREF _Toc226366068 \h </w:instrText>
            </w:r>
            <w:r>
              <w:rPr>
                <w:noProof/>
                <w:webHidden/>
              </w:rPr>
            </w:r>
            <w:r>
              <w:rPr>
                <w:noProof/>
                <w:webHidden/>
              </w:rPr>
              <w:fldChar w:fldCharType="separate"/>
            </w:r>
            <w:r>
              <w:rPr>
                <w:noProof/>
                <w:webHidden/>
              </w:rPr>
              <w:t>1</w:t>
            </w:r>
            <w:r>
              <w:rPr>
                <w:noProof/>
                <w:webHidden/>
              </w:rPr>
              <w:fldChar w:fldCharType="end"/>
            </w:r>
          </w:hyperlink>
        </w:p>
        <w:p w14:paraId="1D3EDB3F" w14:textId="374B05ED" w:rsidR="00E4775F" w:rsidRDefault="00E4775F">
          <w:pPr>
            <w:pStyle w:val="INNH2"/>
            <w:tabs>
              <w:tab w:val="right" w:leader="dot" w:pos="9016"/>
            </w:tabs>
            <w:rPr>
              <w:noProof/>
            </w:rPr>
          </w:pPr>
          <w:hyperlink w:anchor="_Toc226366069" w:history="1">
            <w:r w:rsidRPr="00881609">
              <w:rPr>
                <w:rStyle w:val="Hyperkobling"/>
                <w:noProof/>
                <w:highlight w:val="yellow"/>
              </w:rPr>
              <w:t>Gamleveien</w:t>
            </w:r>
            <w:r>
              <w:rPr>
                <w:noProof/>
                <w:webHidden/>
              </w:rPr>
              <w:tab/>
            </w:r>
            <w:r>
              <w:rPr>
                <w:noProof/>
                <w:webHidden/>
              </w:rPr>
              <w:fldChar w:fldCharType="begin"/>
            </w:r>
            <w:r>
              <w:rPr>
                <w:noProof/>
                <w:webHidden/>
              </w:rPr>
              <w:instrText xml:space="preserve"> PAGEREF _Toc226366069 \h </w:instrText>
            </w:r>
            <w:r>
              <w:rPr>
                <w:noProof/>
                <w:webHidden/>
              </w:rPr>
            </w:r>
            <w:r>
              <w:rPr>
                <w:noProof/>
                <w:webHidden/>
              </w:rPr>
              <w:fldChar w:fldCharType="separate"/>
            </w:r>
            <w:r>
              <w:rPr>
                <w:noProof/>
                <w:webHidden/>
              </w:rPr>
              <w:t>1</w:t>
            </w:r>
            <w:r>
              <w:rPr>
                <w:noProof/>
                <w:webHidden/>
              </w:rPr>
              <w:fldChar w:fldCharType="end"/>
            </w:r>
          </w:hyperlink>
        </w:p>
        <w:p w14:paraId="0F6DC114" w14:textId="2DB8E66F" w:rsidR="00E4775F" w:rsidRDefault="00E4775F">
          <w:pPr>
            <w:pStyle w:val="INNH1"/>
            <w:tabs>
              <w:tab w:val="right" w:leader="dot" w:pos="9016"/>
            </w:tabs>
            <w:rPr>
              <w:noProof/>
            </w:rPr>
          </w:pPr>
          <w:hyperlink w:anchor="_Toc226366070" w:history="1">
            <w:r w:rsidRPr="00881609">
              <w:rPr>
                <w:rStyle w:val="Hyperkobling"/>
                <w:noProof/>
              </w:rPr>
              <w:t>Bindingsvannet – redde og tilgjengeliggjøre</w:t>
            </w:r>
            <w:r>
              <w:rPr>
                <w:noProof/>
                <w:webHidden/>
              </w:rPr>
              <w:tab/>
            </w:r>
            <w:r>
              <w:rPr>
                <w:noProof/>
                <w:webHidden/>
              </w:rPr>
              <w:fldChar w:fldCharType="begin"/>
            </w:r>
            <w:r>
              <w:rPr>
                <w:noProof/>
                <w:webHidden/>
              </w:rPr>
              <w:instrText xml:space="preserve"> PAGEREF _Toc226366070 \h </w:instrText>
            </w:r>
            <w:r>
              <w:rPr>
                <w:noProof/>
                <w:webHidden/>
              </w:rPr>
            </w:r>
            <w:r>
              <w:rPr>
                <w:noProof/>
                <w:webHidden/>
              </w:rPr>
              <w:fldChar w:fldCharType="separate"/>
            </w:r>
            <w:r>
              <w:rPr>
                <w:noProof/>
                <w:webHidden/>
              </w:rPr>
              <w:t>2</w:t>
            </w:r>
            <w:r>
              <w:rPr>
                <w:noProof/>
                <w:webHidden/>
              </w:rPr>
              <w:fldChar w:fldCharType="end"/>
            </w:r>
          </w:hyperlink>
        </w:p>
        <w:p w14:paraId="0094DC4C" w14:textId="565CC83D" w:rsidR="00E4775F" w:rsidRDefault="00E4775F">
          <w:pPr>
            <w:pStyle w:val="INNH1"/>
            <w:tabs>
              <w:tab w:val="right" w:leader="dot" w:pos="9016"/>
            </w:tabs>
            <w:rPr>
              <w:noProof/>
            </w:rPr>
          </w:pPr>
          <w:hyperlink w:anchor="_Toc226366071" w:history="1">
            <w:r w:rsidRPr="00881609">
              <w:rPr>
                <w:rStyle w:val="Hyperkobling"/>
                <w:noProof/>
              </w:rPr>
              <w:t>Arealpress og trusler mot nærområdet</w:t>
            </w:r>
            <w:r>
              <w:rPr>
                <w:noProof/>
                <w:webHidden/>
              </w:rPr>
              <w:tab/>
            </w:r>
            <w:r>
              <w:rPr>
                <w:noProof/>
                <w:webHidden/>
              </w:rPr>
              <w:fldChar w:fldCharType="begin"/>
            </w:r>
            <w:r>
              <w:rPr>
                <w:noProof/>
                <w:webHidden/>
              </w:rPr>
              <w:instrText xml:space="preserve"> PAGEREF _Toc226366071 \h </w:instrText>
            </w:r>
            <w:r>
              <w:rPr>
                <w:noProof/>
                <w:webHidden/>
              </w:rPr>
            </w:r>
            <w:r>
              <w:rPr>
                <w:noProof/>
                <w:webHidden/>
              </w:rPr>
              <w:fldChar w:fldCharType="separate"/>
            </w:r>
            <w:r>
              <w:rPr>
                <w:noProof/>
                <w:webHidden/>
              </w:rPr>
              <w:t>2</w:t>
            </w:r>
            <w:r>
              <w:rPr>
                <w:noProof/>
                <w:webHidden/>
              </w:rPr>
              <w:fldChar w:fldCharType="end"/>
            </w:r>
          </w:hyperlink>
        </w:p>
        <w:p w14:paraId="69D3F808" w14:textId="4066AFD2" w:rsidR="00E4775F" w:rsidRDefault="00E4775F">
          <w:pPr>
            <w:pStyle w:val="INNH1"/>
            <w:tabs>
              <w:tab w:val="right" w:leader="dot" w:pos="9016"/>
            </w:tabs>
            <w:rPr>
              <w:noProof/>
            </w:rPr>
          </w:pPr>
          <w:hyperlink w:anchor="_Toc226366072" w:history="1">
            <w:r w:rsidRPr="00881609">
              <w:rPr>
                <w:rStyle w:val="Hyperkobling"/>
                <w:noProof/>
              </w:rPr>
              <w:t>Sykkelveier og tilkomst</w:t>
            </w:r>
            <w:r>
              <w:rPr>
                <w:noProof/>
                <w:webHidden/>
              </w:rPr>
              <w:tab/>
            </w:r>
            <w:r>
              <w:rPr>
                <w:noProof/>
                <w:webHidden/>
              </w:rPr>
              <w:fldChar w:fldCharType="begin"/>
            </w:r>
            <w:r>
              <w:rPr>
                <w:noProof/>
                <w:webHidden/>
              </w:rPr>
              <w:instrText xml:space="preserve"> PAGEREF _Toc226366072 \h </w:instrText>
            </w:r>
            <w:r>
              <w:rPr>
                <w:noProof/>
                <w:webHidden/>
              </w:rPr>
            </w:r>
            <w:r>
              <w:rPr>
                <w:noProof/>
                <w:webHidden/>
              </w:rPr>
              <w:fldChar w:fldCharType="separate"/>
            </w:r>
            <w:r>
              <w:rPr>
                <w:noProof/>
                <w:webHidden/>
              </w:rPr>
              <w:t>2</w:t>
            </w:r>
            <w:r>
              <w:rPr>
                <w:noProof/>
                <w:webHidden/>
              </w:rPr>
              <w:fldChar w:fldCharType="end"/>
            </w:r>
          </w:hyperlink>
        </w:p>
        <w:p w14:paraId="03DF37BF" w14:textId="008E64A1" w:rsidR="00E4775F" w:rsidRDefault="00E4775F">
          <w:pPr>
            <w:pStyle w:val="INNH1"/>
            <w:tabs>
              <w:tab w:val="right" w:leader="dot" w:pos="9016"/>
            </w:tabs>
            <w:rPr>
              <w:noProof/>
            </w:rPr>
          </w:pPr>
          <w:hyperlink w:anchor="_Toc226366073" w:history="1">
            <w:r w:rsidRPr="00881609">
              <w:rPr>
                <w:rStyle w:val="Hyperkobling"/>
                <w:noProof/>
              </w:rPr>
              <w:t>Samarbeid med kommuner og myndigheter</w:t>
            </w:r>
            <w:r>
              <w:rPr>
                <w:noProof/>
                <w:webHidden/>
              </w:rPr>
              <w:tab/>
            </w:r>
            <w:r>
              <w:rPr>
                <w:noProof/>
                <w:webHidden/>
              </w:rPr>
              <w:fldChar w:fldCharType="begin"/>
            </w:r>
            <w:r>
              <w:rPr>
                <w:noProof/>
                <w:webHidden/>
              </w:rPr>
              <w:instrText xml:space="preserve"> PAGEREF _Toc226366073 \h </w:instrText>
            </w:r>
            <w:r>
              <w:rPr>
                <w:noProof/>
                <w:webHidden/>
              </w:rPr>
            </w:r>
            <w:r>
              <w:rPr>
                <w:noProof/>
                <w:webHidden/>
              </w:rPr>
              <w:fldChar w:fldCharType="separate"/>
            </w:r>
            <w:r>
              <w:rPr>
                <w:noProof/>
                <w:webHidden/>
              </w:rPr>
              <w:t>3</w:t>
            </w:r>
            <w:r>
              <w:rPr>
                <w:noProof/>
                <w:webHidden/>
              </w:rPr>
              <w:fldChar w:fldCharType="end"/>
            </w:r>
          </w:hyperlink>
        </w:p>
        <w:p w14:paraId="256A3FC7" w14:textId="189C5664" w:rsidR="00E4775F" w:rsidRDefault="00E4775F">
          <w:pPr>
            <w:pStyle w:val="INNH1"/>
            <w:tabs>
              <w:tab w:val="right" w:leader="dot" w:pos="9016"/>
            </w:tabs>
            <w:rPr>
              <w:noProof/>
            </w:rPr>
          </w:pPr>
          <w:hyperlink w:anchor="_Toc226366074" w:history="1">
            <w:r w:rsidRPr="00881609">
              <w:rPr>
                <w:rStyle w:val="Hyperkobling"/>
                <w:noProof/>
              </w:rPr>
              <w:t>Organisasjon og økonomi</w:t>
            </w:r>
            <w:r>
              <w:rPr>
                <w:noProof/>
                <w:webHidden/>
              </w:rPr>
              <w:tab/>
            </w:r>
            <w:r>
              <w:rPr>
                <w:noProof/>
                <w:webHidden/>
              </w:rPr>
              <w:fldChar w:fldCharType="begin"/>
            </w:r>
            <w:r>
              <w:rPr>
                <w:noProof/>
                <w:webHidden/>
              </w:rPr>
              <w:instrText xml:space="preserve"> PAGEREF _Toc226366074 \h </w:instrText>
            </w:r>
            <w:r>
              <w:rPr>
                <w:noProof/>
                <w:webHidden/>
              </w:rPr>
            </w:r>
            <w:r>
              <w:rPr>
                <w:noProof/>
                <w:webHidden/>
              </w:rPr>
              <w:fldChar w:fldCharType="separate"/>
            </w:r>
            <w:r>
              <w:rPr>
                <w:noProof/>
                <w:webHidden/>
              </w:rPr>
              <w:t>3</w:t>
            </w:r>
            <w:r>
              <w:rPr>
                <w:noProof/>
                <w:webHidden/>
              </w:rPr>
              <w:fldChar w:fldCharType="end"/>
            </w:r>
          </w:hyperlink>
        </w:p>
        <w:p w14:paraId="781D8144" w14:textId="7B9C6509" w:rsidR="00E4775F" w:rsidRDefault="00E4775F">
          <w:pPr>
            <w:pStyle w:val="INNH1"/>
            <w:tabs>
              <w:tab w:val="right" w:leader="dot" w:pos="9016"/>
            </w:tabs>
            <w:rPr>
              <w:noProof/>
            </w:rPr>
          </w:pPr>
          <w:hyperlink w:anchor="_Toc226366075" w:history="1">
            <w:r w:rsidRPr="00881609">
              <w:rPr>
                <w:rStyle w:val="Hyperkobling"/>
                <w:noProof/>
              </w:rPr>
              <w:t>Langsiktig mål</w:t>
            </w:r>
            <w:r>
              <w:rPr>
                <w:noProof/>
                <w:webHidden/>
              </w:rPr>
              <w:tab/>
            </w:r>
            <w:r>
              <w:rPr>
                <w:noProof/>
                <w:webHidden/>
              </w:rPr>
              <w:fldChar w:fldCharType="begin"/>
            </w:r>
            <w:r>
              <w:rPr>
                <w:noProof/>
                <w:webHidden/>
              </w:rPr>
              <w:instrText xml:space="preserve"> PAGEREF _Toc226366075 \h </w:instrText>
            </w:r>
            <w:r>
              <w:rPr>
                <w:noProof/>
                <w:webHidden/>
              </w:rPr>
            </w:r>
            <w:r>
              <w:rPr>
                <w:noProof/>
                <w:webHidden/>
              </w:rPr>
              <w:fldChar w:fldCharType="separate"/>
            </w:r>
            <w:r>
              <w:rPr>
                <w:noProof/>
                <w:webHidden/>
              </w:rPr>
              <w:t>4</w:t>
            </w:r>
            <w:r>
              <w:rPr>
                <w:noProof/>
                <w:webHidden/>
              </w:rPr>
              <w:fldChar w:fldCharType="end"/>
            </w:r>
          </w:hyperlink>
        </w:p>
        <w:p w14:paraId="0723DE70" w14:textId="39DCFEC9" w:rsidR="00E4775F" w:rsidRDefault="00E4775F">
          <w:r>
            <w:rPr>
              <w:b/>
              <w:bCs/>
            </w:rPr>
            <w:fldChar w:fldCharType="end"/>
          </w:r>
        </w:p>
      </w:sdtContent>
    </w:sdt>
    <w:p w14:paraId="194E3818" w14:textId="77777777" w:rsidR="0022355C" w:rsidRDefault="00657AC0">
      <w:pPr>
        <w:pStyle w:val="Overskrift1"/>
      </w:pPr>
      <w:bookmarkStart w:id="0" w:name="_Toc226366067"/>
      <w:r>
        <w:t>Bakgrunn</w:t>
      </w:r>
      <w:bookmarkEnd w:id="0"/>
    </w:p>
    <w:p w14:paraId="194E3819" w14:textId="77777777" w:rsidR="0022355C" w:rsidRDefault="00657AC0">
      <w:pPr>
        <w:spacing w:after="160"/>
      </w:pPr>
      <w:r>
        <w:t>Bindingsvannet og Fjell var historisk et knutepunkt for utnyttelsen av Østmarka – med sagbruk, skogsdrift og tømmerfløting. I dag er rollen en annen: vi er «</w:t>
      </w:r>
      <w:proofErr w:type="spellStart"/>
      <w:r>
        <w:t>Østmarkaporten</w:t>
      </w:r>
      <w:proofErr w:type="spellEnd"/>
      <w:r>
        <w:t>», en av inngangene til Østmarka nasjonalpark for de som kommer fra sør og øst. Den posisjonen gir oss både ansvar og muligheter.</w:t>
      </w:r>
    </w:p>
    <w:p w14:paraId="194E381A" w14:textId="77777777" w:rsidR="0022355C" w:rsidRDefault="00657AC0">
      <w:pPr>
        <w:spacing w:after="160"/>
      </w:pPr>
      <w:r>
        <w:t>Siden forrige versjon av visjonen (2024) har arbeidet tatt konkrete skritt fremover. Vi vet nå mer om hva som er juridisk og praktisk mulig, og hva som vil kreve lengre tidshorisont. Denne oppdaterte visjonen er forankret i den kunnskapen, uten å miste de langsiktige ambisjonene.</w:t>
      </w:r>
    </w:p>
    <w:p w14:paraId="194E381B" w14:textId="287207DC" w:rsidR="0022355C" w:rsidRDefault="00D94880" w:rsidP="00D94880">
      <w:pPr>
        <w:pStyle w:val="Overskrift1"/>
      </w:pPr>
      <w:bookmarkStart w:id="1" w:name="_Toc226366068"/>
      <w:r>
        <w:t>Ordliste</w:t>
      </w:r>
      <w:bookmarkEnd w:id="1"/>
    </w:p>
    <w:p w14:paraId="1C97C1C1" w14:textId="77777777" w:rsidR="00D94880" w:rsidRDefault="00D94880" w:rsidP="00D94880">
      <w:pPr>
        <w:pStyle w:val="Overskrift2"/>
      </w:pPr>
      <w:bookmarkStart w:id="2" w:name="_Toc226366069"/>
      <w:r w:rsidRPr="00CE5013">
        <w:rPr>
          <w:highlight w:val="yellow"/>
        </w:rPr>
        <w:t>Gamleveien</w:t>
      </w:r>
      <w:bookmarkEnd w:id="2"/>
      <w:r>
        <w:tab/>
      </w:r>
    </w:p>
    <w:p w14:paraId="04F0DCF6" w14:textId="6F324D02" w:rsidR="00D94880" w:rsidRDefault="00D94880" w:rsidP="00D94880">
      <w:r>
        <w:t xml:space="preserve">Gamle Enebakkvei. Veien som går videre der bindingsveien går ut i Enebakkveien. Veien er avregulert som vei, og nå definert som LNF område. Den er i meget varierende stand, men etter at Viken Fiber la fiberkabel der, fikk vi hjelp av dem til å legge ned dreneringsrør, og de fikset også en del på veien, så den ble nyttig som </w:t>
      </w:r>
      <w:proofErr w:type="spellStart"/>
      <w:r>
        <w:t>ganvei</w:t>
      </w:r>
      <w:proofErr w:type="spellEnd"/>
      <w:r>
        <w:t xml:space="preserve"> langs </w:t>
      </w:r>
      <w:proofErr w:type="spellStart"/>
      <w:r>
        <w:t>enebakkveien</w:t>
      </w:r>
      <w:proofErr w:type="spellEnd"/>
      <w:r>
        <w:t xml:space="preserve"> på en strekke som er uten veiskulder og ganske så farlig å bevege seg på ellers. «Hans» raserte veien, men la også fiberkabelen til Viken Fiber åpen, så Velet fulgte opp, og </w:t>
      </w:r>
      <w:r w:rsidR="00654858">
        <w:t>rapporterte</w:t>
      </w:r>
      <w:r>
        <w:t xml:space="preserve"> om problemet. Dermed stilte Viken fiber opp, og utbedret problemene i vår, og la også inn enda bedre drenering på det mest kritiske området. Ved årets oversvømmelse holdt rørene seg på plass, men det </w:t>
      </w:r>
      <w:r>
        <w:lastRenderedPageBreak/>
        <w:t>ble vasket ut mye masse, så det er mulig at det bare tar et par slike uvær til for veien blir totalt ødelagt. Denne gangen ser det derimot ut til at Nordre Follo kommune kan få til å fylle på noen lass med grus og fikse litt på veien. Vi jobber med å få omregulert veien fra LNF område til gang og sykkelvei, men det er en lenger prosess! Men om kommunen hjelper til å holde veien såpass at det ikke er nødvendig å satse livet for å komme rundt vannet, så er denne saken i god rute.</w:t>
      </w:r>
    </w:p>
    <w:p w14:paraId="6F654F15" w14:textId="77777777" w:rsidR="00D94880" w:rsidRDefault="00D94880">
      <w:pPr>
        <w:spacing w:after="80"/>
      </w:pPr>
    </w:p>
    <w:p w14:paraId="194E381C" w14:textId="77777777" w:rsidR="0022355C" w:rsidRDefault="00657AC0">
      <w:pPr>
        <w:pStyle w:val="Overskrift1"/>
      </w:pPr>
      <w:bookmarkStart w:id="3" w:name="_Toc226366070"/>
      <w:r>
        <w:t>Bindingsvannet – redde og tilgjengeliggjøre</w:t>
      </w:r>
      <w:bookmarkEnd w:id="3"/>
    </w:p>
    <w:p w14:paraId="194E381D" w14:textId="77777777" w:rsidR="0022355C" w:rsidRDefault="00657AC0">
      <w:pPr>
        <w:spacing w:after="160"/>
      </w:pPr>
      <w:r>
        <w:t>Gjengroing er den mest akutte trusselen mot Bindingsvannet. Tømmerfløtingen har etterlatt biologisk materiale som driver gjengroingen videre, selv etter at renseanlegg ble oppgradert. Uten tiltak vil vannet over tid bli utilgjengelig for ferdsel.</w:t>
      </w:r>
    </w:p>
    <w:p w14:paraId="194E381E" w14:textId="77777777" w:rsidR="0022355C" w:rsidRDefault="00657AC0">
      <w:pPr>
        <w:spacing w:after="160"/>
      </w:pPr>
      <w:r>
        <w:t>Gjennom kontakt med Nordre Follo, Enebakk, Statsforvalter og Fylkeskommune har vi fått avklart at store masseinngrep er svært krevende å få tillatelse til – lovverket krever dispensasjoner på flere forvaltningsnivåer. Avgrensede tiltak for å holde ferdselskanaler åpne er derimot realistisk, og velet har utarbeidet en konkret søknad om dette.</w:t>
      </w:r>
    </w:p>
    <w:p w14:paraId="194E381F" w14:textId="77777777" w:rsidR="0022355C" w:rsidRDefault="0022355C">
      <w:pPr>
        <w:spacing w:after="80"/>
      </w:pPr>
    </w:p>
    <w:p w14:paraId="194E3820" w14:textId="77777777" w:rsidR="0022355C" w:rsidRDefault="00657AC0">
      <w:pPr>
        <w:spacing w:after="160"/>
      </w:pPr>
      <w:r>
        <w:rPr>
          <w:b/>
          <w:bCs/>
        </w:rPr>
        <w:t>Prioriterte mål:</w:t>
      </w:r>
    </w:p>
    <w:p w14:paraId="194E3821" w14:textId="77777777" w:rsidR="0022355C" w:rsidRDefault="00657AC0">
      <w:pPr>
        <w:pStyle w:val="Listeavsnitt"/>
        <w:numPr>
          <w:ilvl w:val="0"/>
          <w:numId w:val="2"/>
        </w:numPr>
        <w:spacing w:after="100"/>
      </w:pPr>
      <w:r>
        <w:t>Sikre ferdselskanaler gjennom flytemosen i to avgrensede områder (foran Bindingsveien 192 og ved gangbroen til nr. 230/232), slik at ferdsel på vannet holdes åpen.</w:t>
      </w:r>
    </w:p>
    <w:p w14:paraId="194E3822" w14:textId="77777777" w:rsidR="0022355C" w:rsidRDefault="00657AC0">
      <w:pPr>
        <w:pStyle w:val="Listeavsnitt"/>
        <w:numPr>
          <w:ilvl w:val="0"/>
          <w:numId w:val="2"/>
        </w:numPr>
        <w:spacing w:after="100"/>
      </w:pPr>
      <w:r>
        <w:t xml:space="preserve">Bygge videre på skøytesuksessen fra vinteren 2024/2025. Brøytet bane viste at Bindingsvannet er et godt supplement til Langen. Vi vil samarbeide med </w:t>
      </w:r>
      <w:proofErr w:type="spellStart"/>
      <w:r>
        <w:t>brøyterne</w:t>
      </w:r>
      <w:proofErr w:type="spellEnd"/>
      <w:r>
        <w:t xml:space="preserve"> på Langen og arbeide for bedre parkeringsløsninger.</w:t>
      </w:r>
    </w:p>
    <w:p w14:paraId="194E3823" w14:textId="77777777" w:rsidR="0022355C" w:rsidRDefault="00657AC0">
      <w:pPr>
        <w:pStyle w:val="Listeavsnitt"/>
        <w:numPr>
          <w:ilvl w:val="0"/>
          <w:numId w:val="2"/>
        </w:numPr>
        <w:spacing w:after="100"/>
      </w:pPr>
      <w:r>
        <w:t>Legge til rette for padling gjennom vannet når ferdselskanaler er etablert.</w:t>
      </w:r>
    </w:p>
    <w:p w14:paraId="194E3824" w14:textId="77777777" w:rsidR="0022355C" w:rsidRDefault="00657AC0">
      <w:pPr>
        <w:pStyle w:val="Listeavsnitt"/>
        <w:numPr>
          <w:ilvl w:val="0"/>
          <w:numId w:val="2"/>
        </w:numPr>
        <w:spacing w:after="100"/>
      </w:pPr>
      <w:r>
        <w:t>Holde Egil-huken og badeplassen i god stand som åpent tilbud for beboere og besøkende.</w:t>
      </w:r>
    </w:p>
    <w:p w14:paraId="194E3825" w14:textId="77777777" w:rsidR="0022355C" w:rsidRDefault="0022355C">
      <w:pPr>
        <w:spacing w:after="80"/>
      </w:pPr>
    </w:p>
    <w:p w14:paraId="194E3826" w14:textId="77777777" w:rsidR="0022355C" w:rsidRDefault="00657AC0">
      <w:pPr>
        <w:pStyle w:val="Overskrift1"/>
      </w:pPr>
      <w:bookmarkStart w:id="4" w:name="_Toc226366071"/>
      <w:r>
        <w:t>Arealpress og trusler mot nærområdet</w:t>
      </w:r>
      <w:bookmarkEnd w:id="4"/>
    </w:p>
    <w:p w14:paraId="194E3827" w14:textId="77777777" w:rsidR="0022355C" w:rsidRDefault="00657AC0">
      <w:pPr>
        <w:spacing w:after="160"/>
      </w:pPr>
      <w:r>
        <w:t>Bindingsvannet ligger i et område under press fra flere hold. Det er viktig at velet følger med på og aktivt påvirker planprosesser som berører området.</w:t>
      </w:r>
    </w:p>
    <w:p w14:paraId="194E3828" w14:textId="77777777" w:rsidR="0022355C" w:rsidRDefault="0022355C">
      <w:pPr>
        <w:spacing w:after="80"/>
      </w:pPr>
    </w:p>
    <w:p w14:paraId="194E3829" w14:textId="77777777" w:rsidR="0022355C" w:rsidRDefault="00657AC0">
      <w:pPr>
        <w:spacing w:after="160"/>
      </w:pPr>
      <w:r>
        <w:rPr>
          <w:b/>
          <w:bCs/>
        </w:rPr>
        <w:t xml:space="preserve">Omregulering av </w:t>
      </w:r>
      <w:proofErr w:type="spellStart"/>
      <w:r>
        <w:rPr>
          <w:b/>
          <w:bCs/>
        </w:rPr>
        <w:t>Durud</w:t>
      </w:r>
      <w:proofErr w:type="spellEnd"/>
      <w:r>
        <w:rPr>
          <w:b/>
          <w:bCs/>
        </w:rPr>
        <w:t>-området:</w:t>
      </w:r>
    </w:p>
    <w:p w14:paraId="194E382A" w14:textId="77777777" w:rsidR="0022355C" w:rsidRDefault="00657AC0">
      <w:pPr>
        <w:spacing w:after="160"/>
      </w:pPr>
      <w:r>
        <w:t xml:space="preserve">Enebakk kommune har varslet at området ved </w:t>
      </w:r>
      <w:proofErr w:type="spellStart"/>
      <w:r>
        <w:t>Durud</w:t>
      </w:r>
      <w:proofErr w:type="spellEnd"/>
      <w:r>
        <w:t>, i dag regulert til dyrepark, trolig vil bli omregulert til utvidelse av industriområdet. Dette er en betydelig trussel mot friluftslivet og den grønne buffersonen mot Bindingsvannet. Velet må følge denne planprosessen tett og fremme innsigelser dersom forslaget svekker tilgangen til og kvaliteten på nærområdet.</w:t>
      </w:r>
    </w:p>
    <w:p w14:paraId="194E382B" w14:textId="77777777" w:rsidR="0022355C" w:rsidRDefault="0022355C">
      <w:pPr>
        <w:spacing w:after="80"/>
      </w:pPr>
    </w:p>
    <w:p w14:paraId="194E382C" w14:textId="77777777" w:rsidR="0022355C" w:rsidRDefault="00657AC0">
      <w:pPr>
        <w:spacing w:after="160"/>
      </w:pPr>
      <w:r>
        <w:rPr>
          <w:b/>
          <w:bCs/>
        </w:rPr>
        <w:lastRenderedPageBreak/>
        <w:t>Generelt arealvern:</w:t>
      </w:r>
    </w:p>
    <w:p w14:paraId="194E382D" w14:textId="77777777" w:rsidR="0022355C" w:rsidRDefault="00657AC0">
      <w:pPr>
        <w:spacing w:after="160"/>
      </w:pPr>
      <w:r>
        <w:t>Nærheten til nasjonalparken og 100-metersbeltet langs vannet begrenser utbyggingspress, men gir ingen garanti mot industriell eller kommersiell utvikling i randsonen. Velet vil arbeide for at kommunale planer ivaretar friluftsinteressene i området.</w:t>
      </w:r>
    </w:p>
    <w:p w14:paraId="194E382E" w14:textId="77777777" w:rsidR="0022355C" w:rsidRDefault="0022355C">
      <w:pPr>
        <w:spacing w:after="80"/>
      </w:pPr>
    </w:p>
    <w:p w14:paraId="194E382F" w14:textId="77777777" w:rsidR="0022355C" w:rsidRDefault="00657AC0">
      <w:pPr>
        <w:pStyle w:val="Overskrift1"/>
      </w:pPr>
      <w:bookmarkStart w:id="5" w:name="_Toc226366072"/>
      <w:r>
        <w:t>Sykkelveier og tilkomst</w:t>
      </w:r>
      <w:bookmarkEnd w:id="5"/>
    </w:p>
    <w:p w14:paraId="194E3830" w14:textId="0EF20016" w:rsidR="0022355C" w:rsidRDefault="00657AC0">
      <w:pPr>
        <w:spacing w:after="160"/>
      </w:pPr>
      <w:r>
        <w:t xml:space="preserve">God tilkomst er en forutsetning for at Bindingsvannet skal fungere som Østmarkport. Vi arbeider for </w:t>
      </w:r>
      <w:r w:rsidR="00386FCA">
        <w:t>fire</w:t>
      </w:r>
      <w:r>
        <w:t xml:space="preserve"> konkrete strekninger:</w:t>
      </w:r>
    </w:p>
    <w:p w14:paraId="194E3831" w14:textId="77777777" w:rsidR="0022355C" w:rsidRDefault="0022355C">
      <w:pPr>
        <w:spacing w:after="80"/>
      </w:pPr>
    </w:p>
    <w:p w14:paraId="194E3832" w14:textId="77777777" w:rsidR="0022355C" w:rsidRDefault="00657AC0">
      <w:pPr>
        <w:spacing w:after="160"/>
      </w:pPr>
      <w:r>
        <w:rPr>
          <w:b/>
          <w:bCs/>
        </w:rPr>
        <w:t>1. Gamleveien (sørsiden av vannet)</w:t>
      </w:r>
    </w:p>
    <w:p w14:paraId="194E3833" w14:textId="77777777" w:rsidR="0022355C" w:rsidRDefault="00657AC0">
      <w:pPr>
        <w:spacing w:after="160"/>
      </w:pPr>
      <w:r>
        <w:t xml:space="preserve">Nordre Follo vurderer nå tiltak for gang- og sykkelsti i gamleveien. Veien har allerede et godt veilegeme med full drenering etter fibergraving – det mangler primært noe masse. Dette er sannsynligvis den raskeste og rimeligste sykkelveiforbedringen i området. Dersom veien også kan brukes til parkering for </w:t>
      </w:r>
      <w:proofErr w:type="spellStart"/>
      <w:r>
        <w:t>skøytere</w:t>
      </w:r>
      <w:proofErr w:type="spellEnd"/>
      <w:r>
        <w:t xml:space="preserve">, blir midtre del av Bindingsvannet langt mer tilgjengelig for tilreisende. </w:t>
      </w:r>
      <w:proofErr w:type="spellStart"/>
      <w:r>
        <w:t>Andersrud</w:t>
      </w:r>
      <w:proofErr w:type="spellEnd"/>
      <w:r>
        <w:t xml:space="preserve"> vel og Enebakk kommune arbeider parallelt med å knytte dette til sykkelveiene gjennom industriområdet, slik at man kan sykle trygt fra Ytre Enebakk til </w:t>
      </w:r>
      <w:proofErr w:type="spellStart"/>
      <w:r>
        <w:t>Bysetermosen</w:t>
      </w:r>
      <w:proofErr w:type="spellEnd"/>
      <w:r>
        <w:t>.</w:t>
      </w:r>
    </w:p>
    <w:p w14:paraId="194E3834" w14:textId="77777777" w:rsidR="0022355C" w:rsidRDefault="0022355C">
      <w:pPr>
        <w:spacing w:after="80"/>
      </w:pPr>
    </w:p>
    <w:p w14:paraId="194E3835" w14:textId="45992A6C" w:rsidR="0022355C" w:rsidRDefault="00657AC0">
      <w:pPr>
        <w:spacing w:after="160"/>
      </w:pPr>
      <w:r>
        <w:rPr>
          <w:b/>
          <w:bCs/>
        </w:rPr>
        <w:t>2. Sykkelvei rundt Bindingsvannet (</w:t>
      </w:r>
      <w:r w:rsidR="006407EF">
        <w:rPr>
          <w:b/>
          <w:bCs/>
        </w:rPr>
        <w:t>Østsiden</w:t>
      </w:r>
      <w:r>
        <w:rPr>
          <w:b/>
          <w:bCs/>
        </w:rPr>
        <w:t>)</w:t>
      </w:r>
    </w:p>
    <w:p w14:paraId="194E3836" w14:textId="3E39F6C4" w:rsidR="0022355C" w:rsidRDefault="00657AC0">
      <w:pPr>
        <w:spacing w:after="160"/>
      </w:pPr>
      <w:r>
        <w:t xml:space="preserve">Stien på </w:t>
      </w:r>
      <w:r w:rsidR="0087778B">
        <w:t>østsiden</w:t>
      </w:r>
      <w:r>
        <w:t xml:space="preserve"> av vannet er ulendt og ikke </w:t>
      </w:r>
      <w:r w:rsidR="0087778B">
        <w:t xml:space="preserve">veldig </w:t>
      </w:r>
      <w:r>
        <w:t xml:space="preserve">fremkommelig for barnefamilier eller syklister. Utbedring her vil gjøre en rundtur rundt vannet </w:t>
      </w:r>
      <w:r w:rsidR="008C0A1A">
        <w:t>enklere</w:t>
      </w:r>
      <w:r>
        <w:t>, og bedre tilgangen til nasjonalparken for alle grupper. Strekningen ligger utenfor nasjonalparken og er et naturlig prosjekt for tilrettelegging.</w:t>
      </w:r>
      <w:r w:rsidR="000A2318">
        <w:t xml:space="preserve"> Det er et område som </w:t>
      </w:r>
      <w:r w:rsidR="002F12AF">
        <w:t xml:space="preserve">Enebakk kommune </w:t>
      </w:r>
      <w:r w:rsidR="00845E42">
        <w:t xml:space="preserve">er oppmerksomme på, og forsøker å følge opp. </w:t>
      </w:r>
    </w:p>
    <w:p w14:paraId="194E3837" w14:textId="77777777" w:rsidR="0022355C" w:rsidRDefault="0022355C">
      <w:pPr>
        <w:spacing w:after="80"/>
      </w:pPr>
    </w:p>
    <w:p w14:paraId="194E3838" w14:textId="77777777" w:rsidR="0022355C" w:rsidRDefault="00657AC0">
      <w:pPr>
        <w:spacing w:after="160"/>
      </w:pPr>
      <w:r>
        <w:rPr>
          <w:b/>
          <w:bCs/>
        </w:rPr>
        <w:t xml:space="preserve">3. Brufjellveien (skolevei og </w:t>
      </w:r>
      <w:proofErr w:type="spellStart"/>
      <w:r>
        <w:rPr>
          <w:b/>
          <w:bCs/>
        </w:rPr>
        <w:t>markaadkomst</w:t>
      </w:r>
      <w:proofErr w:type="spellEnd"/>
      <w:r>
        <w:rPr>
          <w:b/>
          <w:bCs/>
        </w:rPr>
        <w:t>)</w:t>
      </w:r>
    </w:p>
    <w:p w14:paraId="08B5C8D9" w14:textId="704340A9" w:rsidR="007D4E50" w:rsidRDefault="00657AC0" w:rsidP="007D4E50">
      <w:pPr>
        <w:spacing w:after="160"/>
      </w:pPr>
      <w:r>
        <w:t xml:space="preserve">Sykkelvei langs Brufjellveien er viktig som skolevei og som adkomst til nasjonalparken fra Bru. Dette er </w:t>
      </w:r>
      <w:r w:rsidR="00845E42">
        <w:t>krevende, da det</w:t>
      </w:r>
      <w:r w:rsidR="003260C0">
        <w:t xml:space="preserve"> ikke finnes noen enkelt og rimelig løsning. Men veien er viktig </w:t>
      </w:r>
      <w:r>
        <w:t>for å gjøre marka tilgjengelig fra sykkel for barn og familier</w:t>
      </w:r>
      <w:r w:rsidR="00BC5C52">
        <w:t xml:space="preserve"> fra Siggerud og vestover. Det er også e</w:t>
      </w:r>
      <w:r w:rsidR="00684F9D">
        <w:t>t poeng å tilrettelegge med parkeringsplasser for klatreveggen som ligger der oppe</w:t>
      </w:r>
      <w:r w:rsidR="00FA022A">
        <w:t xml:space="preserve">. Det er viktig å få frem at denne veien har blitt dramatisk mye mer trafikkert av tungtrafikk etter at tungtrafikken til </w:t>
      </w:r>
      <w:r w:rsidR="00204A47">
        <w:t xml:space="preserve">Enger og </w:t>
      </w:r>
      <w:proofErr w:type="spellStart"/>
      <w:r w:rsidR="00204A47">
        <w:t>Mr</w:t>
      </w:r>
      <w:proofErr w:type="spellEnd"/>
      <w:r w:rsidR="00204A47">
        <w:t xml:space="preserve"> pukk som kommer sørfra må betale bompenger om de kjører om </w:t>
      </w:r>
      <w:r w:rsidR="001A2DF3">
        <w:t>Oslo. Da kjører de denne veien for å spare noen kroner</w:t>
      </w:r>
      <w:r w:rsidR="00F460CD">
        <w:t>. Når to trailere møtes der, er det ikke mye plass for fotgjengere og syklister!</w:t>
      </w:r>
    </w:p>
    <w:p w14:paraId="194E383A" w14:textId="529E8123" w:rsidR="0022355C" w:rsidRPr="00F04894" w:rsidRDefault="000B0059" w:rsidP="00F04894">
      <w:pPr>
        <w:pStyle w:val="Listeavsnitt"/>
        <w:numPr>
          <w:ilvl w:val="0"/>
          <w:numId w:val="7"/>
        </w:numPr>
        <w:spacing w:after="80"/>
        <w:rPr>
          <w:b/>
          <w:bCs/>
        </w:rPr>
      </w:pPr>
      <w:r w:rsidRPr="00F04894">
        <w:rPr>
          <w:b/>
          <w:bCs/>
        </w:rPr>
        <w:t xml:space="preserve">Enebakkveien fra Fjell til </w:t>
      </w:r>
      <w:proofErr w:type="spellStart"/>
      <w:r w:rsidR="00833388" w:rsidRPr="00F04894">
        <w:rPr>
          <w:b/>
          <w:bCs/>
        </w:rPr>
        <w:t>Sværsvann</w:t>
      </w:r>
      <w:proofErr w:type="spellEnd"/>
    </w:p>
    <w:p w14:paraId="1BE94BEE" w14:textId="2E780D73" w:rsidR="00833388" w:rsidRDefault="00833388">
      <w:pPr>
        <w:spacing w:after="80"/>
      </w:pPr>
      <w:r>
        <w:t xml:space="preserve">Dette er en vei </w:t>
      </w:r>
      <w:r w:rsidR="004F45B4">
        <w:t>uten veiskulder. Det oppleves som livsfarlig å sykle der</w:t>
      </w:r>
      <w:r w:rsidR="003B3EDD">
        <w:t xml:space="preserve">, og veien går forbi Krokhol som er den andre hovedinngangen til denne delen av marka. </w:t>
      </w:r>
      <w:r w:rsidR="00BB40E2">
        <w:t xml:space="preserve">Der er det parkering og bussholdeplass. Men at det ikke skal være mulig å sykle inn til nasjonalparken, </w:t>
      </w:r>
      <w:r w:rsidR="002208A8">
        <w:t>bør ikke godtas. Men dette er ikke noe enkelt og billig prosjekt!</w:t>
      </w:r>
    </w:p>
    <w:p w14:paraId="194E383B" w14:textId="77777777" w:rsidR="0022355C" w:rsidRDefault="00657AC0">
      <w:pPr>
        <w:pStyle w:val="Overskrift1"/>
      </w:pPr>
      <w:bookmarkStart w:id="6" w:name="_Toc226366073"/>
      <w:r>
        <w:lastRenderedPageBreak/>
        <w:t>Samarbeid med kommuner og myndigheter</w:t>
      </w:r>
      <w:bookmarkEnd w:id="6"/>
    </w:p>
    <w:p w14:paraId="194E383C" w14:textId="77777777" w:rsidR="0022355C" w:rsidRDefault="00657AC0">
      <w:pPr>
        <w:spacing w:after="160"/>
      </w:pPr>
      <w:r>
        <w:t>Bindingsvannet ligger i grenseområdet mellom Nordre Follo og Enebakk, med Oslo som tredje aktør gjennom nasjonalparken. Velet vil arbeide med en samlet plan på tvers av kommunegrensene, men dele opp arbeidet i delprosjekter tilpasset den aktuelle kommunen.</w:t>
      </w:r>
    </w:p>
    <w:p w14:paraId="194E383D" w14:textId="77777777" w:rsidR="0022355C" w:rsidRDefault="0022355C">
      <w:pPr>
        <w:spacing w:after="80"/>
      </w:pPr>
    </w:p>
    <w:p w14:paraId="194E383E" w14:textId="77777777" w:rsidR="0022355C" w:rsidRDefault="00657AC0">
      <w:pPr>
        <w:spacing w:after="160"/>
      </w:pPr>
      <w:r>
        <w:rPr>
          <w:b/>
          <w:bCs/>
        </w:rPr>
        <w:t>Pågående samarbeid:</w:t>
      </w:r>
    </w:p>
    <w:p w14:paraId="194E383F" w14:textId="77777777" w:rsidR="0022355C" w:rsidRDefault="00657AC0">
      <w:pPr>
        <w:pStyle w:val="Listeavsnitt"/>
        <w:numPr>
          <w:ilvl w:val="0"/>
          <w:numId w:val="3"/>
        </w:numPr>
        <w:spacing w:after="100"/>
      </w:pPr>
      <w:r>
        <w:t xml:space="preserve">Enebakk: Søknadsprosess for inngrep i vassdrag, «Friluftslivets ferdselsårer», oppfølging av </w:t>
      </w:r>
      <w:proofErr w:type="spellStart"/>
      <w:r>
        <w:t>Durud</w:t>
      </w:r>
      <w:proofErr w:type="spellEnd"/>
      <w:r>
        <w:t>-omreguleringen.</w:t>
      </w:r>
    </w:p>
    <w:p w14:paraId="194E3840" w14:textId="77777777" w:rsidR="0022355C" w:rsidRDefault="00657AC0">
      <w:pPr>
        <w:pStyle w:val="Listeavsnitt"/>
        <w:numPr>
          <w:ilvl w:val="0"/>
          <w:numId w:val="3"/>
        </w:numPr>
        <w:spacing w:after="100"/>
      </w:pPr>
      <w:r>
        <w:t>Nordre Follo: Sykkelsti i gamleveien, sperring av innkjøring langs vannet.</w:t>
      </w:r>
    </w:p>
    <w:p w14:paraId="194E3841" w14:textId="77777777" w:rsidR="0022355C" w:rsidRDefault="00657AC0">
      <w:pPr>
        <w:pStyle w:val="Listeavsnitt"/>
        <w:numPr>
          <w:ilvl w:val="0"/>
          <w:numId w:val="3"/>
        </w:numPr>
        <w:spacing w:after="100"/>
      </w:pPr>
      <w:r>
        <w:t>Statsforvalter/Fylkeskommune: Dispensasjonsprosess for tiltak i vassdrag.</w:t>
      </w:r>
    </w:p>
    <w:p w14:paraId="194E3842" w14:textId="77777777" w:rsidR="0022355C" w:rsidRDefault="00657AC0">
      <w:pPr>
        <w:pStyle w:val="Listeavsnitt"/>
        <w:numPr>
          <w:ilvl w:val="0"/>
          <w:numId w:val="3"/>
        </w:numPr>
        <w:spacing w:after="100"/>
      </w:pPr>
      <w:r>
        <w:t>Grunneiere langs vannet: Nødvendige samtykkeparter i søknader og tiltak.</w:t>
      </w:r>
    </w:p>
    <w:p w14:paraId="194E3843" w14:textId="77777777" w:rsidR="0022355C" w:rsidRDefault="0022355C">
      <w:pPr>
        <w:spacing w:after="80"/>
      </w:pPr>
    </w:p>
    <w:p w14:paraId="194E3844" w14:textId="77777777" w:rsidR="0022355C" w:rsidRDefault="00657AC0">
      <w:pPr>
        <w:pStyle w:val="Overskrift1"/>
      </w:pPr>
      <w:bookmarkStart w:id="7" w:name="_Toc226366074"/>
      <w:r>
        <w:t>Organisasjon og økonomi</w:t>
      </w:r>
      <w:bookmarkEnd w:id="7"/>
    </w:p>
    <w:p w14:paraId="194E3845" w14:textId="77777777" w:rsidR="0022355C" w:rsidRDefault="00657AC0">
      <w:pPr>
        <w:spacing w:after="160"/>
      </w:pPr>
      <w:r>
        <w:t>Velet er en liten frivillig organisasjon. For å nå ambisjonene i visjonen trenger vi:</w:t>
      </w:r>
    </w:p>
    <w:p w14:paraId="194E3846" w14:textId="77777777" w:rsidR="0022355C" w:rsidRDefault="00657AC0">
      <w:pPr>
        <w:pStyle w:val="Listeavsnitt"/>
        <w:numPr>
          <w:ilvl w:val="0"/>
          <w:numId w:val="3"/>
        </w:numPr>
        <w:spacing w:after="100"/>
      </w:pPr>
      <w:r>
        <w:t>Flere betalende medlemmer – kontingentinntektene dokumenterer engasjement og styrker søknader om ekstern støtte.</w:t>
      </w:r>
    </w:p>
    <w:p w14:paraId="194E3847" w14:textId="77777777" w:rsidR="0022355C" w:rsidRDefault="00657AC0">
      <w:pPr>
        <w:pStyle w:val="Listeavsnitt"/>
        <w:numPr>
          <w:ilvl w:val="0"/>
          <w:numId w:val="3"/>
        </w:numPr>
        <w:spacing w:after="100"/>
      </w:pPr>
      <w:r>
        <w:t>Støttegruppe for styret – beboere som vil bidra på enkeltprosjekter uten å påta seg fullt styreansvar. Gruppen mottar sakslister og inviteres til relevante styremøter.</w:t>
      </w:r>
    </w:p>
    <w:p w14:paraId="194E3848" w14:textId="77777777" w:rsidR="0022355C" w:rsidRDefault="00657AC0">
      <w:pPr>
        <w:pStyle w:val="Listeavsnitt"/>
        <w:numPr>
          <w:ilvl w:val="0"/>
          <w:numId w:val="3"/>
        </w:numPr>
        <w:spacing w:after="100"/>
      </w:pPr>
      <w:r>
        <w:t>Eksterne midler – tilrettelegging for friluftsliv nær nasjonalparken kvalifiserer for ulike støtteordninger. Velet vil søke aktivt når konkrete prosjekter er klare.</w:t>
      </w:r>
    </w:p>
    <w:p w14:paraId="194E3849" w14:textId="77777777" w:rsidR="0022355C" w:rsidRDefault="00657AC0">
      <w:pPr>
        <w:pStyle w:val="Listeavsnitt"/>
        <w:numPr>
          <w:ilvl w:val="0"/>
          <w:numId w:val="3"/>
        </w:numPr>
        <w:spacing w:after="100"/>
      </w:pPr>
      <w:proofErr w:type="spellStart"/>
      <w:r>
        <w:t>StyreWEB</w:t>
      </w:r>
      <w:proofErr w:type="spellEnd"/>
      <w:r>
        <w:t xml:space="preserve"> – moderne medlemsregister og kontingentverktøy for enklere drift.</w:t>
      </w:r>
    </w:p>
    <w:p w14:paraId="194E384A" w14:textId="77777777" w:rsidR="0022355C" w:rsidRDefault="0022355C">
      <w:pPr>
        <w:spacing w:after="80"/>
      </w:pPr>
    </w:p>
    <w:p w14:paraId="194E384B" w14:textId="77777777" w:rsidR="0022355C" w:rsidRDefault="00657AC0">
      <w:pPr>
        <w:pStyle w:val="Overskrift1"/>
      </w:pPr>
      <w:bookmarkStart w:id="8" w:name="_Toc226366075"/>
      <w:r>
        <w:t>Langsiktig mål</w:t>
      </w:r>
      <w:bookmarkEnd w:id="8"/>
    </w:p>
    <w:p w14:paraId="194E384C" w14:textId="77777777" w:rsidR="0022355C" w:rsidRDefault="00657AC0">
      <w:pPr>
        <w:spacing w:after="160"/>
      </w:pPr>
      <w:r>
        <w:t>Bindingsvannet vel har som mål at Bindingsvannet om 10 år skal være:</w:t>
      </w:r>
    </w:p>
    <w:p w14:paraId="194E384D" w14:textId="77777777" w:rsidR="0022355C" w:rsidRDefault="00657AC0">
      <w:pPr>
        <w:pStyle w:val="Listeavsnitt"/>
        <w:numPr>
          <w:ilvl w:val="0"/>
          <w:numId w:val="3"/>
        </w:numPr>
        <w:spacing w:after="100"/>
      </w:pPr>
      <w:r>
        <w:t>Et friskt, tilgjengelig vann med åpne ferdselskanaler for padling og skøyting.</w:t>
      </w:r>
    </w:p>
    <w:p w14:paraId="194E384E" w14:textId="77777777" w:rsidR="0022355C" w:rsidRDefault="00657AC0">
      <w:pPr>
        <w:pStyle w:val="Listeavsnitt"/>
        <w:numPr>
          <w:ilvl w:val="0"/>
          <w:numId w:val="3"/>
        </w:numPr>
        <w:spacing w:after="100"/>
      </w:pPr>
      <w:r>
        <w:t>En levende Østmarkport med god tilkomst for syklister, barnefamilier og besøkende til nasjonalparken.</w:t>
      </w:r>
    </w:p>
    <w:p w14:paraId="194E384F" w14:textId="77777777" w:rsidR="0022355C" w:rsidRDefault="00657AC0">
      <w:pPr>
        <w:pStyle w:val="Listeavsnitt"/>
        <w:numPr>
          <w:ilvl w:val="0"/>
          <w:numId w:val="3"/>
        </w:numPr>
        <w:spacing w:after="100"/>
      </w:pPr>
      <w:r>
        <w:t>Et lokalsamfunn der velet er en aktiv og synlig aktør – for beboerne og i møte med kommuner og myndigheter.</w:t>
      </w:r>
    </w:p>
    <w:p w14:paraId="194E3851" w14:textId="77777777" w:rsidR="0022355C" w:rsidRDefault="0022355C">
      <w:pPr>
        <w:spacing w:after="80"/>
      </w:pPr>
    </w:p>
    <w:p w14:paraId="194E3852" w14:textId="74F40F62" w:rsidR="0022355C" w:rsidRDefault="00485655">
      <w:pPr>
        <w:spacing w:before="480"/>
      </w:pPr>
      <w:r>
        <w:rPr>
          <w:i/>
          <w:iCs/>
        </w:rPr>
        <w:t>Siggerud</w:t>
      </w:r>
      <w:r w:rsidR="00657AC0">
        <w:rPr>
          <w:i/>
          <w:iCs/>
        </w:rPr>
        <w:t>, april 2026</w:t>
      </w:r>
    </w:p>
    <w:p w14:paraId="194E3853" w14:textId="77777777" w:rsidR="0022355C" w:rsidRDefault="00657AC0">
      <w:pPr>
        <w:spacing w:before="200"/>
      </w:pPr>
      <w:r>
        <w:t>Jofred Nesje</w:t>
      </w:r>
    </w:p>
    <w:p w14:paraId="194E3854" w14:textId="77777777" w:rsidR="0022355C" w:rsidRDefault="00657AC0">
      <w:r>
        <w:rPr>
          <w:i/>
          <w:iCs/>
        </w:rPr>
        <w:t>Styreleder, Bindingsvannet vel</w:t>
      </w:r>
    </w:p>
    <w:sectPr w:rsidR="00223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3006"/>
    <w:multiLevelType w:val="hybridMultilevel"/>
    <w:tmpl w:val="399EC7EC"/>
    <w:lvl w:ilvl="0" w:tplc="A27E2732">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4E56DF7"/>
    <w:multiLevelType w:val="hybridMultilevel"/>
    <w:tmpl w:val="EC228436"/>
    <w:lvl w:ilvl="0" w:tplc="2566177A">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64B1D8C"/>
    <w:multiLevelType w:val="hybridMultilevel"/>
    <w:tmpl w:val="264EE2A6"/>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8C93137"/>
    <w:multiLevelType w:val="hybridMultilevel"/>
    <w:tmpl w:val="83D27132"/>
    <w:lvl w:ilvl="0" w:tplc="13A60560">
      <w:start w:val="1"/>
      <w:numFmt w:val="bullet"/>
      <w:lvlText w:val="●"/>
      <w:lvlJc w:val="left"/>
      <w:pPr>
        <w:ind w:left="720" w:hanging="360"/>
      </w:pPr>
    </w:lvl>
    <w:lvl w:ilvl="1" w:tplc="8B92E9E6">
      <w:start w:val="1"/>
      <w:numFmt w:val="bullet"/>
      <w:lvlText w:val="○"/>
      <w:lvlJc w:val="left"/>
      <w:pPr>
        <w:ind w:left="1440" w:hanging="360"/>
      </w:pPr>
    </w:lvl>
    <w:lvl w:ilvl="2" w:tplc="B8344DCA">
      <w:start w:val="1"/>
      <w:numFmt w:val="bullet"/>
      <w:lvlText w:val="■"/>
      <w:lvlJc w:val="left"/>
      <w:pPr>
        <w:ind w:left="2160" w:hanging="360"/>
      </w:pPr>
    </w:lvl>
    <w:lvl w:ilvl="3" w:tplc="D444BD84">
      <w:start w:val="1"/>
      <w:numFmt w:val="bullet"/>
      <w:lvlText w:val="●"/>
      <w:lvlJc w:val="left"/>
      <w:pPr>
        <w:ind w:left="2880" w:hanging="360"/>
      </w:pPr>
    </w:lvl>
    <w:lvl w:ilvl="4" w:tplc="EDFA5810">
      <w:start w:val="1"/>
      <w:numFmt w:val="bullet"/>
      <w:lvlText w:val="○"/>
      <w:lvlJc w:val="left"/>
      <w:pPr>
        <w:ind w:left="3600" w:hanging="360"/>
      </w:pPr>
    </w:lvl>
    <w:lvl w:ilvl="5" w:tplc="AFE6A1B6">
      <w:start w:val="1"/>
      <w:numFmt w:val="bullet"/>
      <w:lvlText w:val="■"/>
      <w:lvlJc w:val="left"/>
      <w:pPr>
        <w:ind w:left="4320" w:hanging="360"/>
      </w:pPr>
    </w:lvl>
    <w:lvl w:ilvl="6" w:tplc="528ACFE2">
      <w:start w:val="1"/>
      <w:numFmt w:val="bullet"/>
      <w:lvlText w:val="●"/>
      <w:lvlJc w:val="left"/>
      <w:pPr>
        <w:ind w:left="5040" w:hanging="360"/>
      </w:pPr>
    </w:lvl>
    <w:lvl w:ilvl="7" w:tplc="BE36D60A">
      <w:start w:val="1"/>
      <w:numFmt w:val="bullet"/>
      <w:lvlText w:val="●"/>
      <w:lvlJc w:val="left"/>
      <w:pPr>
        <w:ind w:left="5760" w:hanging="360"/>
      </w:pPr>
    </w:lvl>
    <w:lvl w:ilvl="8" w:tplc="DAE06040">
      <w:start w:val="1"/>
      <w:numFmt w:val="bullet"/>
      <w:lvlText w:val="●"/>
      <w:lvlJc w:val="left"/>
      <w:pPr>
        <w:ind w:left="6480" w:hanging="360"/>
      </w:pPr>
    </w:lvl>
  </w:abstractNum>
  <w:abstractNum w:abstractNumId="4" w15:restartNumberingAfterBreak="0">
    <w:nsid w:val="729D3EBE"/>
    <w:multiLevelType w:val="hybridMultilevel"/>
    <w:tmpl w:val="8E34D0E2"/>
    <w:lvl w:ilvl="0" w:tplc="2B6AE366">
      <w:start w:val="1"/>
      <w:numFmt w:val="bullet"/>
      <w:lvlText w:val="•"/>
      <w:lvlJc w:val="left"/>
      <w:pPr>
        <w:ind w:left="720" w:hanging="360"/>
      </w:pPr>
    </w:lvl>
    <w:lvl w:ilvl="1" w:tplc="6F1E598C">
      <w:numFmt w:val="decimal"/>
      <w:lvlText w:val=""/>
      <w:lvlJc w:val="left"/>
    </w:lvl>
    <w:lvl w:ilvl="2" w:tplc="BB22AECC">
      <w:numFmt w:val="decimal"/>
      <w:lvlText w:val=""/>
      <w:lvlJc w:val="left"/>
    </w:lvl>
    <w:lvl w:ilvl="3" w:tplc="76308C68">
      <w:numFmt w:val="decimal"/>
      <w:lvlText w:val=""/>
      <w:lvlJc w:val="left"/>
    </w:lvl>
    <w:lvl w:ilvl="4" w:tplc="0A5A730A">
      <w:numFmt w:val="decimal"/>
      <w:lvlText w:val=""/>
      <w:lvlJc w:val="left"/>
    </w:lvl>
    <w:lvl w:ilvl="5" w:tplc="ABB85954">
      <w:numFmt w:val="decimal"/>
      <w:lvlText w:val=""/>
      <w:lvlJc w:val="left"/>
    </w:lvl>
    <w:lvl w:ilvl="6" w:tplc="5F1893C8">
      <w:numFmt w:val="decimal"/>
      <w:lvlText w:val=""/>
      <w:lvlJc w:val="left"/>
    </w:lvl>
    <w:lvl w:ilvl="7" w:tplc="DA8E0E90">
      <w:numFmt w:val="decimal"/>
      <w:lvlText w:val=""/>
      <w:lvlJc w:val="left"/>
    </w:lvl>
    <w:lvl w:ilvl="8" w:tplc="1918FEBC">
      <w:numFmt w:val="decimal"/>
      <w:lvlText w:val=""/>
      <w:lvlJc w:val="left"/>
    </w:lvl>
  </w:abstractNum>
  <w:abstractNum w:abstractNumId="5" w15:restartNumberingAfterBreak="0">
    <w:nsid w:val="74547BBF"/>
    <w:multiLevelType w:val="hybridMultilevel"/>
    <w:tmpl w:val="29702036"/>
    <w:lvl w:ilvl="0" w:tplc="2566177A">
      <w:start w:val="1"/>
      <w:numFmt w:val="decimal"/>
      <w:lvlText w:val="%1."/>
      <w:lvlJc w:val="left"/>
      <w:pPr>
        <w:ind w:left="720" w:hanging="360"/>
      </w:pPr>
    </w:lvl>
    <w:lvl w:ilvl="1" w:tplc="E796F0B8">
      <w:numFmt w:val="decimal"/>
      <w:lvlText w:val=""/>
      <w:lvlJc w:val="left"/>
    </w:lvl>
    <w:lvl w:ilvl="2" w:tplc="865AD2E0">
      <w:numFmt w:val="decimal"/>
      <w:lvlText w:val=""/>
      <w:lvlJc w:val="left"/>
    </w:lvl>
    <w:lvl w:ilvl="3" w:tplc="86F88034">
      <w:numFmt w:val="decimal"/>
      <w:lvlText w:val=""/>
      <w:lvlJc w:val="left"/>
    </w:lvl>
    <w:lvl w:ilvl="4" w:tplc="C84ECC7E">
      <w:numFmt w:val="decimal"/>
      <w:lvlText w:val=""/>
      <w:lvlJc w:val="left"/>
    </w:lvl>
    <w:lvl w:ilvl="5" w:tplc="907097A6">
      <w:numFmt w:val="decimal"/>
      <w:lvlText w:val=""/>
      <w:lvlJc w:val="left"/>
    </w:lvl>
    <w:lvl w:ilvl="6" w:tplc="3E9A1C4C">
      <w:numFmt w:val="decimal"/>
      <w:lvlText w:val=""/>
      <w:lvlJc w:val="left"/>
    </w:lvl>
    <w:lvl w:ilvl="7" w:tplc="FC641812">
      <w:numFmt w:val="decimal"/>
      <w:lvlText w:val=""/>
      <w:lvlJc w:val="left"/>
    </w:lvl>
    <w:lvl w:ilvl="8" w:tplc="C5780CAE">
      <w:numFmt w:val="decimal"/>
      <w:lvlText w:val=""/>
      <w:lvlJc w:val="left"/>
    </w:lvl>
  </w:abstractNum>
  <w:num w:numId="1" w16cid:durableId="287051426">
    <w:abstractNumId w:val="3"/>
    <w:lvlOverride w:ilvl="0">
      <w:startOverride w:val="1"/>
    </w:lvlOverride>
  </w:num>
  <w:num w:numId="2" w16cid:durableId="1038581195">
    <w:abstractNumId w:val="5"/>
    <w:lvlOverride w:ilvl="0">
      <w:startOverride w:val="1"/>
    </w:lvlOverride>
  </w:num>
  <w:num w:numId="3" w16cid:durableId="437721571">
    <w:abstractNumId w:val="4"/>
    <w:lvlOverride w:ilvl="0">
      <w:startOverride w:val="1"/>
    </w:lvlOverride>
  </w:num>
  <w:num w:numId="4" w16cid:durableId="892693007">
    <w:abstractNumId w:val="2"/>
  </w:num>
  <w:num w:numId="5" w16cid:durableId="1592008275">
    <w:abstractNumId w:val="5"/>
  </w:num>
  <w:num w:numId="6" w16cid:durableId="578171854">
    <w:abstractNumId w:val="1"/>
  </w:num>
  <w:num w:numId="7" w16cid:durableId="3180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5C"/>
    <w:rsid w:val="000A2318"/>
    <w:rsid w:val="000B0059"/>
    <w:rsid w:val="001A2DF3"/>
    <w:rsid w:val="00204A47"/>
    <w:rsid w:val="002208A8"/>
    <w:rsid w:val="0022355C"/>
    <w:rsid w:val="002F12AF"/>
    <w:rsid w:val="003260C0"/>
    <w:rsid w:val="00386FCA"/>
    <w:rsid w:val="00392EF8"/>
    <w:rsid w:val="003B3EDD"/>
    <w:rsid w:val="00485655"/>
    <w:rsid w:val="004F45B4"/>
    <w:rsid w:val="005C09DE"/>
    <w:rsid w:val="006407EF"/>
    <w:rsid w:val="00654858"/>
    <w:rsid w:val="00657AC0"/>
    <w:rsid w:val="00684F9D"/>
    <w:rsid w:val="007D4E50"/>
    <w:rsid w:val="00833388"/>
    <w:rsid w:val="00845E42"/>
    <w:rsid w:val="0087778B"/>
    <w:rsid w:val="008C0A1A"/>
    <w:rsid w:val="009B02A9"/>
    <w:rsid w:val="00BB40E2"/>
    <w:rsid w:val="00BC5C52"/>
    <w:rsid w:val="00D34FC1"/>
    <w:rsid w:val="00D94880"/>
    <w:rsid w:val="00E4775F"/>
    <w:rsid w:val="00F04894"/>
    <w:rsid w:val="00F460CD"/>
    <w:rsid w:val="00FA02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3815"/>
  <w15:docId w15:val="{E4C3EFF2-AA7D-458D-A8DF-2A92A3BC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pBdr>
        <w:bottom w:val="single" w:sz="4" w:space="1" w:color="2E75B6"/>
      </w:pBdr>
      <w:spacing w:before="360" w:after="180"/>
      <w:outlineLvl w:val="0"/>
    </w:pPr>
    <w:rPr>
      <w:b/>
      <w:bCs/>
      <w:color w:val="1F4E79"/>
      <w:sz w:val="32"/>
      <w:szCs w:val="32"/>
    </w:rPr>
  </w:style>
  <w:style w:type="paragraph" w:styleId="Overskrift2">
    <w:name w:val="heading 2"/>
    <w:uiPriority w:val="9"/>
    <w:unhideWhenUsed/>
    <w:qFormat/>
    <w:pPr>
      <w:spacing w:before="280" w:after="120"/>
      <w:outlineLvl w:val="1"/>
    </w:pPr>
    <w:rPr>
      <w:b/>
      <w:bCs/>
      <w:color w:val="2E75B6"/>
      <w:sz w:val="26"/>
      <w:szCs w:val="26"/>
    </w:rPr>
  </w:style>
  <w:style w:type="paragraph" w:styleId="Overskrift3">
    <w:name w:val="heading 3"/>
    <w:uiPriority w:val="9"/>
    <w:semiHidden/>
    <w:unhideWhenUsed/>
    <w:qFormat/>
    <w:pPr>
      <w:outlineLvl w:val="2"/>
    </w:pPr>
    <w:rPr>
      <w:color w:val="1F4D78"/>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rPr>
      <w:sz w:val="56"/>
      <w:szCs w:val="56"/>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rPr>
      <w:sz w:val="20"/>
      <w:szCs w:val="20"/>
    </w:rPr>
  </w:style>
  <w:style w:type="character" w:customStyle="1" w:styleId="FotnotetekstTegn">
    <w:name w:val="Fotnotetekst Tegn"/>
    <w:link w:val="Fotnotetekst"/>
    <w:uiPriority w:val="99"/>
    <w:semiHidden/>
    <w:unhideWhenUsed/>
    <w:rPr>
      <w:sz w:val="20"/>
      <w:szCs w:val="20"/>
    </w:rPr>
  </w:style>
  <w:style w:type="character" w:styleId="Sluttnotereferanse">
    <w:name w:val="endnote reference"/>
    <w:uiPriority w:val="99"/>
    <w:semiHidden/>
    <w:unhideWhenUsed/>
    <w:rPr>
      <w:vertAlign w:val="superscript"/>
    </w:rPr>
  </w:style>
  <w:style w:type="paragraph" w:styleId="Sluttnotetekst">
    <w:name w:val="endnote text"/>
    <w:link w:val="SluttnotetekstTegn"/>
    <w:uiPriority w:val="99"/>
    <w:semiHidden/>
    <w:unhideWhenUsed/>
    <w:rPr>
      <w:sz w:val="20"/>
      <w:szCs w:val="20"/>
    </w:rPr>
  </w:style>
  <w:style w:type="character" w:customStyle="1" w:styleId="SluttnotetekstTegn">
    <w:name w:val="Sluttnotetekst Tegn"/>
    <w:link w:val="Sluttnotetekst"/>
    <w:uiPriority w:val="99"/>
    <w:semiHidden/>
    <w:unhideWhenUsed/>
    <w:rPr>
      <w:sz w:val="20"/>
      <w:szCs w:val="20"/>
    </w:rPr>
  </w:style>
  <w:style w:type="paragraph" w:styleId="Overskriftforinnholdsfortegnelse">
    <w:name w:val="TOC Heading"/>
    <w:basedOn w:val="Overskrift1"/>
    <w:next w:val="Normal"/>
    <w:uiPriority w:val="39"/>
    <w:unhideWhenUsed/>
    <w:qFormat/>
    <w:rsid w:val="00E4775F"/>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INNH1">
    <w:name w:val="toc 1"/>
    <w:basedOn w:val="Normal"/>
    <w:next w:val="Normal"/>
    <w:autoRedefine/>
    <w:uiPriority w:val="39"/>
    <w:unhideWhenUsed/>
    <w:rsid w:val="00E4775F"/>
    <w:pPr>
      <w:spacing w:after="100"/>
    </w:pPr>
  </w:style>
  <w:style w:type="paragraph" w:styleId="INNH2">
    <w:name w:val="toc 2"/>
    <w:basedOn w:val="Normal"/>
    <w:next w:val="Normal"/>
    <w:autoRedefine/>
    <w:uiPriority w:val="39"/>
    <w:unhideWhenUsed/>
    <w:rsid w:val="00E4775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767F-988A-4E92-96E0-4BCD0BF8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4</Pages>
  <Words>1396</Words>
  <Characters>7399</Characters>
  <Application>Microsoft Office Word</Application>
  <DocSecurity>0</DocSecurity>
  <Lines>61</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Jofred Nesje</cp:lastModifiedBy>
  <cp:revision>30</cp:revision>
  <dcterms:created xsi:type="dcterms:W3CDTF">2026-04-06T08:29:00Z</dcterms:created>
  <dcterms:modified xsi:type="dcterms:W3CDTF">2026-04-14T16:20:00Z</dcterms:modified>
</cp:coreProperties>
</file>